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template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893"/>
        <w:gridCol w:w="2746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/>
            <w:bookmarkStart w:id="0" w:name="_Hlk203722079"/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  <w:lang w:val="pt-BR"/>
              </w:rPr>
              <w:t xml:space="preserve">Cmei Criança Feliz 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DEZEMBRO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981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01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02/12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03/12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04/12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05/12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Arroz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Canjiquinha</w:t>
            </w:r>
            <w:r>
              <w:rPr>
                <w:rFonts w:ascii="Times New Roman"/>
                <w:sz w:val="24"/>
              </w:rPr>
              <w:t xml:space="preserve"> com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  <w:t xml:space="preserve">pernil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alface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com frango e cenoura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Salada de pepino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Maçã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Polenta com carne moída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Salada de couve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Feijão branco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Arroz </w:t>
            </w: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</w:r>
            <w:r/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Macarrão ao molho de frango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pepino e tomate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606,81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79g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31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18g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22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26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bookmarkEnd w:id="0"/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3176"/>
        <w:gridCol w:w="2463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/>
            <w:bookmarkStart w:id="1" w:name="_Hlk204682166"/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</w:t>
            </w:r>
            <w:r>
              <w:rPr>
                <w:b/>
                <w:bCs/>
                <w:lang w:val="pt-BR"/>
              </w:rPr>
              <w:t xml:space="preserve"> 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pt-BR"/>
              </w:rPr>
              <w:t xml:space="preserve">Cmei Raio de Sol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DEZEMBRO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01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317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02/12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03/12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04/12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05/12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Arroz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3176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Canjiquinha</w:t>
            </w:r>
            <w:r>
              <w:rPr>
                <w:rFonts w:ascii="Times New Roman"/>
                <w:sz w:val="24"/>
              </w:rPr>
              <w:t xml:space="preserve"> com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  <w:t xml:space="preserve">pernil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repolho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com frango e cenoura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Salada de alface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Maçã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Polenta com carne moída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Salada de pepino e chuchu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Feijão branco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jc w:val="both"/>
              <w:rPr/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Arroz </w:t>
            </w:r>
            <w:r/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Macarrão ao molho de frango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tomate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317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31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317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606,81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79g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</w:rPr>
              <w:t xml:space="preserve">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18g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31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22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26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</w:t>
            </w:r>
            <w:r>
              <w:rPr>
                <w:b/>
                <w:bCs/>
                <w:spacing w:val="5"/>
                <w:lang w:val="pt-BR"/>
              </w:rPr>
              <w:t xml:space="preserve">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bookmarkEnd w:id="1"/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893"/>
        <w:gridCol w:w="2746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  <w:lang w:val="pt-BR"/>
              </w:rPr>
              <w:t xml:space="preserve">     </w:t>
            </w:r>
            <w:r>
              <w:rPr>
                <w:b/>
                <w:bCs/>
                <w:lang w:val="pt-BR"/>
              </w:rPr>
              <w:t xml:space="preserve">CMEI Criança Feliz 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DEZEMBRO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981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08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09/12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11/12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12/12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Arroz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 com abobrinha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Canjiquinha</w:t>
            </w:r>
            <w:r>
              <w:rPr>
                <w:rFonts w:ascii="Times New Roman"/>
                <w:sz w:val="24"/>
              </w:rPr>
              <w:t xml:space="preserve"> com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  <w:t xml:space="preserve">pernil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alface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com frango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Salada de repolho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Maçã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Macarrão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 com carne moída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Salada de chuchu e tomate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 </w:t>
            </w:r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Canja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596,81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79g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31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18g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22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26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893"/>
        <w:gridCol w:w="2746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  <w:lang w:val="pt-BR"/>
              </w:rPr>
              <w:t xml:space="preserve">      </w:t>
            </w:r>
            <w:r>
              <w:rPr>
                <w:b/>
                <w:bCs/>
                <w:lang w:val="pt-BR"/>
              </w:rPr>
              <w:t xml:space="preserve">Cmei Raio de Sol 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DEZEMBRO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981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08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09/12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11/12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12/12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Arroz parboilizado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Arroz parboilizado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alface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Farofa de pernil suíno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parboilizado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Frango assado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Salada de repolho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Maçã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Macarrão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 com carne moída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Salada de  tomate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lang w:val="pt-BR"/>
              </w:rPr>
            </w:r>
          </w:p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  <w:lang w:val="pt-BR"/>
              </w:rPr>
              <w:t xml:space="preserve"> </w:t>
            </w:r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Canjiquinha com frango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Repolho refogado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highlight w:val="none"/>
                <w:lang w:val="pt-BR" w:bidi="pt-BR"/>
              </w:rPr>
              <w:t xml:space="preserve">Feijão preto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Maçã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606,81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79g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31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18g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22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26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10" w:orient="landscape" w:w="16840"/>
      <w:pgMar w:top="1100" w:right="800" w:bottom="280" w:left="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widowControl w:val="false"/>
      <w:pBdr/>
      <w:spacing w:after="0" w:line="240" w:lineRule="auto"/>
      <w:ind/>
    </w:pPr>
    <w:rPr>
      <w:rFonts w:ascii="Calibri" w:hAnsi="Calibri" w:eastAsia="Calibri" w:cs="Calibri"/>
      <w:lang w:val="pt-PT"/>
      <w14:ligatures w14:val="none"/>
    </w:r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table" w:styleId="891" w:customStyle="1">
    <w:name w:val="Table Normal"/>
    <w:uiPriority w:val="2"/>
    <w:semiHidden/>
    <w:unhideWhenUsed/>
    <w:qFormat/>
    <w:pPr>
      <w:widowControl w:val="false"/>
      <w:pBdr/>
      <w:spacing w:after="0" w:line="240" w:lineRule="auto"/>
      <w:ind/>
    </w:pPr>
    <w:rPr>
      <w:lang w:val="en-US"/>
      <w14:ligatures w14:val="none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customStyle="1">
    <w:name w:val="Table Paragraph"/>
    <w:basedOn w:val="887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23</cp:revision>
  <dcterms:created xsi:type="dcterms:W3CDTF">2025-07-18T13:46:00Z</dcterms:created>
  <dcterms:modified xsi:type="dcterms:W3CDTF">2025-12-12T12:45:22Z</dcterms:modified>
</cp:coreProperties>
</file>